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36C" w:rsidRPr="00FB43D1" w:rsidRDefault="001D736C" w:rsidP="001D736C">
      <w:pPr>
        <w:jc w:val="right"/>
        <w:rPr>
          <w:rFonts w:ascii="Times New Roman" w:hAnsi="Times New Roman" w:cs="Times New Roman"/>
          <w:i/>
          <w:sz w:val="27"/>
          <w:szCs w:val="27"/>
        </w:rPr>
      </w:pPr>
      <w:r w:rsidRPr="00FB43D1"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3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4111"/>
        <w:gridCol w:w="1107"/>
        <w:gridCol w:w="1019"/>
        <w:gridCol w:w="3686"/>
      </w:tblGrid>
      <w:tr w:rsidR="001D736C" w:rsidRPr="006A651C" w:rsidTr="001D248A">
        <w:trPr>
          <w:trHeight w:val="1134"/>
        </w:trPr>
        <w:tc>
          <w:tcPr>
            <w:tcW w:w="4111" w:type="dxa"/>
          </w:tcPr>
          <w:p w:rsidR="001D736C" w:rsidRPr="00FB43D1" w:rsidRDefault="001D736C" w:rsidP="0090037D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  <w:t>ПАРАТ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1D736C" w:rsidRPr="00FB43D1" w:rsidRDefault="001D736C" w:rsidP="00900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D736C" w:rsidRPr="00FB43D1" w:rsidRDefault="001D736C" w:rsidP="00900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пр. Строителей, д. 12,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г. Нижнекамск, 423570</w:t>
            </w:r>
            <w:r w:rsidRPr="00FB43D1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2126" w:type="dxa"/>
            <w:gridSpan w:val="2"/>
            <w:hideMark/>
          </w:tcPr>
          <w:p w:rsidR="001D736C" w:rsidRPr="00FB43D1" w:rsidRDefault="001D736C" w:rsidP="0090037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  <w:r w:rsidR="001D248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</w:t>
            </w: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6A651C" w:rsidRDefault="006A651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bookmarkStart w:id="0" w:name="_GoBack"/>
            <w:bookmarkEnd w:id="0"/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Төзүчеләр пр., 12 нче йорт,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шәһәре, 423570</w:t>
            </w:r>
          </w:p>
        </w:tc>
      </w:tr>
      <w:tr w:rsidR="001D736C" w:rsidRPr="00FB43D1" w:rsidTr="001D248A">
        <w:trPr>
          <w:trHeight w:val="68"/>
        </w:trPr>
        <w:tc>
          <w:tcPr>
            <w:tcW w:w="9923" w:type="dxa"/>
            <w:gridSpan w:val="4"/>
            <w:hideMark/>
          </w:tcPr>
          <w:p w:rsidR="001D736C" w:rsidRPr="00FB43D1" w:rsidRDefault="001D736C" w:rsidP="00900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1D736C" w:rsidRPr="00FB43D1" w:rsidTr="001D248A">
        <w:trPr>
          <w:trHeight w:val="85"/>
        </w:trPr>
        <w:tc>
          <w:tcPr>
            <w:tcW w:w="5218" w:type="dxa"/>
            <w:gridSpan w:val="2"/>
          </w:tcPr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5E43C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A7389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AB1A" id="Прямая со стрелкой 6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</w:t>
            </w:r>
          </w:p>
          <w:p w:rsidR="001D736C" w:rsidRDefault="001D736C" w:rsidP="001D73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CF2A7D" w:rsidRPr="00FB43D1" w:rsidRDefault="00CF2A7D" w:rsidP="001D73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D736C" w:rsidRPr="0090037D" w:rsidRDefault="001D736C" w:rsidP="00CF2A7D">
            <w:pPr>
              <w:spacing w:after="0"/>
              <w:ind w:left="-246" w:right="1269" w:hanging="14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</w:t>
            </w:r>
            <w:r w:rsidR="00626527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D646B6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672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елның 29 апреле</w:t>
            </w:r>
            <w:r w:rsidR="00626527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 </w:t>
            </w:r>
            <w:r w:rsidR="0090037D" w:rsidRPr="009003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705" w:type="dxa"/>
            <w:gridSpan w:val="2"/>
          </w:tcPr>
          <w:p w:rsidR="001D736C" w:rsidRPr="00FB43D1" w:rsidRDefault="001D736C" w:rsidP="001D736C">
            <w:pPr>
              <w:spacing w:after="0"/>
              <w:ind w:right="-255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:rsidR="001D736C" w:rsidRPr="00FB43D1" w:rsidRDefault="001D736C" w:rsidP="001D736C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1D736C" w:rsidRDefault="001D736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672726" w:rsidRDefault="00672726" w:rsidP="00672726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672726">
        <w:rPr>
          <w:rFonts w:ascii="Times New Roman" w:hAnsi="Times New Roman" w:cs="Times New Roman"/>
          <w:b w:val="0"/>
          <w:sz w:val="27"/>
          <w:szCs w:val="27"/>
        </w:rPr>
        <w:t xml:space="preserve">Түбән Кама шәһәр Советының 2019 елның 20 декабрендәге </w:t>
      </w:r>
    </w:p>
    <w:p w:rsidR="00672726" w:rsidRDefault="00672726" w:rsidP="00672726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  <w:lang w:val="tt-RU"/>
        </w:rPr>
      </w:pPr>
      <w:r w:rsidRPr="00672726">
        <w:rPr>
          <w:rFonts w:ascii="Times New Roman" w:hAnsi="Times New Roman" w:cs="Times New Roman"/>
          <w:b w:val="0"/>
          <w:sz w:val="27"/>
          <w:szCs w:val="27"/>
        </w:rPr>
        <w:t xml:space="preserve">45 номерлы карары белән расланган </w:t>
      </w:r>
      <w:r>
        <w:rPr>
          <w:rFonts w:ascii="Times New Roman" w:hAnsi="Times New Roman" w:cs="Times New Roman"/>
          <w:b w:val="0"/>
          <w:sz w:val="27"/>
          <w:szCs w:val="27"/>
          <w:lang w:val="tt-RU"/>
        </w:rPr>
        <w:t xml:space="preserve">Түбән Кама шәһәре бюджетыннан </w:t>
      </w:r>
    </w:p>
    <w:p w:rsidR="00672726" w:rsidRPr="00672726" w:rsidRDefault="00672726" w:rsidP="00672726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  <w:lang w:val="tt-RU"/>
        </w:rPr>
      </w:pPr>
      <w:r w:rsidRPr="00672726">
        <w:rPr>
          <w:rFonts w:ascii="Times New Roman" w:hAnsi="Times New Roman" w:cs="Times New Roman"/>
          <w:b w:val="0"/>
          <w:sz w:val="27"/>
          <w:szCs w:val="27"/>
          <w:lang w:val="tt-RU"/>
        </w:rPr>
        <w:t>Түбән Кама муниципаль районы бюджетына</w:t>
      </w:r>
      <w:r w:rsidR="009F1599">
        <w:rPr>
          <w:rFonts w:ascii="Times New Roman" w:hAnsi="Times New Roman" w:cs="Times New Roman"/>
          <w:b w:val="0"/>
          <w:sz w:val="27"/>
          <w:szCs w:val="27"/>
          <w:lang w:val="tt-RU"/>
        </w:rPr>
        <w:t xml:space="preserve"> </w:t>
      </w:r>
      <w:r w:rsidRPr="00672726">
        <w:rPr>
          <w:rFonts w:ascii="Times New Roman" w:hAnsi="Times New Roman" w:cs="Times New Roman"/>
          <w:b w:val="0"/>
          <w:sz w:val="27"/>
          <w:szCs w:val="27"/>
          <w:lang w:val="tt-RU"/>
        </w:rPr>
        <w:t xml:space="preserve"> башка бюджетара трансфертлар </w:t>
      </w:r>
      <w:r w:rsidR="009F1599">
        <w:rPr>
          <w:rFonts w:ascii="Times New Roman" w:hAnsi="Times New Roman" w:cs="Times New Roman"/>
          <w:b w:val="0"/>
          <w:sz w:val="27"/>
          <w:szCs w:val="27"/>
          <w:lang w:val="tt-RU"/>
        </w:rPr>
        <w:t xml:space="preserve">                       </w:t>
      </w:r>
      <w:r>
        <w:rPr>
          <w:rFonts w:ascii="Times New Roman" w:hAnsi="Times New Roman" w:cs="Times New Roman"/>
          <w:b w:val="0"/>
          <w:sz w:val="27"/>
          <w:szCs w:val="27"/>
          <w:lang w:val="tt-RU"/>
        </w:rPr>
        <w:t xml:space="preserve">бүлеп </w:t>
      </w:r>
      <w:r w:rsidRPr="00672726">
        <w:rPr>
          <w:rFonts w:ascii="Times New Roman" w:hAnsi="Times New Roman" w:cs="Times New Roman"/>
          <w:b w:val="0"/>
          <w:sz w:val="27"/>
          <w:szCs w:val="27"/>
          <w:lang w:val="tt-RU"/>
        </w:rPr>
        <w:t>бирү Тәртибе</w:t>
      </w:r>
      <w:r>
        <w:rPr>
          <w:rFonts w:ascii="Times New Roman" w:hAnsi="Times New Roman" w:cs="Times New Roman"/>
          <w:b w:val="0"/>
          <w:sz w:val="27"/>
          <w:szCs w:val="27"/>
          <w:lang w:val="tt-RU"/>
        </w:rPr>
        <w:t>нә</w:t>
      </w:r>
      <w:r w:rsidRPr="00672726">
        <w:rPr>
          <w:lang w:val="tt-RU"/>
        </w:rPr>
        <w:t xml:space="preserve"> </w:t>
      </w:r>
      <w:r w:rsidRPr="00672726">
        <w:rPr>
          <w:rFonts w:ascii="Times New Roman" w:hAnsi="Times New Roman" w:cs="Times New Roman"/>
          <w:b w:val="0"/>
          <w:sz w:val="27"/>
          <w:szCs w:val="27"/>
          <w:lang w:val="tt-RU"/>
        </w:rPr>
        <w:t>үзгәрешләр кертү турында</w:t>
      </w:r>
    </w:p>
    <w:p w:rsidR="00D646B6" w:rsidRPr="00672726" w:rsidRDefault="00D646B6" w:rsidP="00D646B6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  <w:lang w:val="tt-RU"/>
        </w:rPr>
      </w:pPr>
    </w:p>
    <w:p w:rsidR="00672726" w:rsidRPr="00672726" w:rsidRDefault="00672726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72726">
        <w:rPr>
          <w:rFonts w:ascii="Times New Roman" w:hAnsi="Times New Roman" w:cs="Times New Roman"/>
          <w:sz w:val="27"/>
          <w:szCs w:val="27"/>
          <w:lang w:val="tt-RU"/>
        </w:rPr>
        <w:t>Россия Федерациясе Бюджет кодексының 9, 142.3, 142.5 статьялары, Татарстан Республикасы Түбән Кама муниципаль районы Түбән Кама шәһәре муниципаль берәмлеге Уставының 35 статьясы нигезендә, Түбән Кама шәһәр Советы</w:t>
      </w:r>
    </w:p>
    <w:p w:rsidR="00F5730E" w:rsidRPr="00672726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F5730E" w:rsidRPr="009F1599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72726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>КАРАР БИРӘ</w:t>
      </w:r>
      <w:r w:rsidRPr="009F1599">
        <w:rPr>
          <w:rFonts w:ascii="Times New Roman" w:hAnsi="Times New Roman" w:cs="Times New Roman"/>
          <w:sz w:val="27"/>
          <w:szCs w:val="27"/>
          <w:lang w:val="tt-RU"/>
        </w:rPr>
        <w:t>:</w:t>
      </w:r>
    </w:p>
    <w:p w:rsidR="00F5730E" w:rsidRPr="009F1599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D646B6" w:rsidRPr="009F1599" w:rsidRDefault="00D646B6" w:rsidP="00672726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1. 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>Түбән Кама шәһәр Советының 2019 елның 20 декабрендәге 45 номерлы карары белән расланган Түбән Кама шәһәре бюджетыннан Түбән Кама муниципаль районы бюджетына</w:t>
      </w:r>
      <w:r w:rsidR="00672726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башка бюджетара трансфертлар бүлеп бирү Тәртибенә </w:t>
      </w:r>
      <w:r w:rsidR="00672726">
        <w:rPr>
          <w:rFonts w:ascii="Times New Roman" w:hAnsi="Times New Roman" w:cs="Times New Roman"/>
          <w:sz w:val="27"/>
          <w:szCs w:val="27"/>
          <w:lang w:val="tt-RU"/>
        </w:rPr>
        <w:t xml:space="preserve">түбәндәге 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>үзгәрешләр кертергә:</w:t>
      </w:r>
    </w:p>
    <w:p w:rsidR="00672726" w:rsidRPr="009F1599" w:rsidRDefault="00672726" w:rsidP="00D646B6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F1599">
        <w:rPr>
          <w:rFonts w:ascii="Times New Roman" w:hAnsi="Times New Roman" w:cs="Times New Roman"/>
          <w:sz w:val="27"/>
          <w:szCs w:val="27"/>
          <w:lang w:val="tt-RU"/>
        </w:rPr>
        <w:t>2 бүлекнең 4 пунктында «бюджет турында карар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белән</w:t>
      </w:r>
      <w:r w:rsidRPr="009F1599">
        <w:rPr>
          <w:rFonts w:ascii="Times New Roman" w:hAnsi="Times New Roman" w:cs="Times New Roman"/>
          <w:sz w:val="27"/>
          <w:szCs w:val="27"/>
          <w:lang w:val="tt-RU"/>
        </w:rPr>
        <w:t>»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9F1599">
        <w:rPr>
          <w:rFonts w:ascii="Times New Roman" w:hAnsi="Times New Roman" w:cs="Times New Roman"/>
          <w:sz w:val="27"/>
          <w:szCs w:val="27"/>
          <w:lang w:val="tt-RU"/>
        </w:rPr>
        <w:t>сүзләреннән соң «һәм аның нигезендә кабул ителгән шәһәр башкарма комитеты актлары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белән</w:t>
      </w:r>
      <w:r w:rsidRPr="009F1599">
        <w:rPr>
          <w:rFonts w:ascii="Times New Roman" w:hAnsi="Times New Roman" w:cs="Times New Roman"/>
          <w:sz w:val="27"/>
          <w:szCs w:val="27"/>
          <w:lang w:val="tt-RU"/>
        </w:rPr>
        <w:t>» сүзләрен өстәргә.</w:t>
      </w:r>
    </w:p>
    <w:p w:rsidR="00B4561F" w:rsidRPr="00672726" w:rsidRDefault="0085046A" w:rsidP="00D646B6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F1599">
        <w:rPr>
          <w:rFonts w:ascii="Times New Roman" w:hAnsi="Times New Roman" w:cs="Times New Roman"/>
          <w:sz w:val="27"/>
          <w:szCs w:val="27"/>
          <w:lang w:val="tt-RU"/>
        </w:rPr>
        <w:t>2</w:t>
      </w:r>
      <w:r w:rsidR="00B4561F"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. 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>Әлеге карарны массакүләм мәгълүмат чараларында бастырып чыгарырга һәм</w:t>
      </w:r>
      <w:r w:rsidR="00672726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672726" w:rsidRPr="00672726">
        <w:rPr>
          <w:rFonts w:ascii="Times New Roman" w:hAnsi="Times New Roman" w:cs="Times New Roman"/>
          <w:sz w:val="27"/>
          <w:szCs w:val="27"/>
          <w:lang w:val="tt-RU"/>
        </w:rPr>
        <w:t>Интернет мәгълүмат-телекомму</w:t>
      </w:r>
      <w:r w:rsidR="002B7D18">
        <w:rPr>
          <w:rFonts w:ascii="Times New Roman" w:hAnsi="Times New Roman" w:cs="Times New Roman"/>
          <w:sz w:val="27"/>
          <w:szCs w:val="27"/>
          <w:lang w:val="tt-RU"/>
        </w:rPr>
        <w:t xml:space="preserve">никация челтәрендә 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муниципаль районының рәсми сайтында </w:t>
      </w:r>
      <w:r w:rsidR="00672726">
        <w:rPr>
          <w:rFonts w:ascii="Times New Roman" w:hAnsi="Times New Roman" w:cs="Times New Roman"/>
          <w:sz w:val="27"/>
          <w:szCs w:val="27"/>
          <w:lang w:val="tt-RU"/>
        </w:rPr>
        <w:t>урнаштырырга.</w:t>
      </w:r>
    </w:p>
    <w:p w:rsidR="00435047" w:rsidRPr="009F1599" w:rsidRDefault="00435047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3. 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>Әлеге карарның үтәлешен контрольдә тотуны Түбән Кама шәһәр Советының бюджет сәясәте һәм икътисады</w:t>
      </w:r>
      <w:r w:rsidR="002B7D18" w:rsidRPr="009F1599">
        <w:rPr>
          <w:rFonts w:ascii="Times New Roman" w:hAnsi="Times New Roman" w:cs="Times New Roman"/>
          <w:sz w:val="27"/>
          <w:szCs w:val="27"/>
          <w:lang w:val="tt-RU"/>
        </w:rPr>
        <w:t>й үсеш буенча даими комиссиясен</w:t>
      </w:r>
      <w:r w:rsidR="00672726" w:rsidRPr="009F1599">
        <w:rPr>
          <w:rFonts w:ascii="Times New Roman" w:hAnsi="Times New Roman" w:cs="Times New Roman"/>
          <w:sz w:val="27"/>
          <w:szCs w:val="27"/>
          <w:lang w:val="tt-RU"/>
        </w:rPr>
        <w:t>ә йөкләргә.</w:t>
      </w:r>
    </w:p>
    <w:p w:rsidR="00A16BAF" w:rsidRPr="009F1599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90037D" w:rsidRPr="009F1599" w:rsidRDefault="0090037D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A16BAF" w:rsidRPr="009F1599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B4561F" w:rsidRPr="009F1599" w:rsidRDefault="00672726" w:rsidP="003B4C1A">
      <w:pPr>
        <w:pStyle w:val="ConsPlusNormal"/>
        <w:ind w:hanging="567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F1599">
        <w:rPr>
          <w:rFonts w:ascii="Times New Roman" w:hAnsi="Times New Roman" w:cs="Times New Roman"/>
          <w:sz w:val="27"/>
          <w:szCs w:val="27"/>
          <w:lang w:val="tt-RU"/>
        </w:rPr>
        <w:t>Түбән Кама шәһәре Мэры</w:t>
      </w:r>
      <w:r w:rsidR="00A16BAF"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      </w:t>
      </w:r>
      <w:r w:rsidR="003B4C1A"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  </w:t>
      </w:r>
      <w:r w:rsidR="00A16BAF"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E765E2" w:rsidRPr="009F1599">
        <w:rPr>
          <w:rFonts w:ascii="Times New Roman" w:hAnsi="Times New Roman" w:cs="Times New Roman"/>
          <w:sz w:val="27"/>
          <w:szCs w:val="27"/>
          <w:lang w:val="tt-RU"/>
        </w:rPr>
        <w:t>А.Р.</w:t>
      </w:r>
      <w:r w:rsidR="00A16BAF" w:rsidRPr="009F1599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E765E2" w:rsidRPr="009F1599">
        <w:rPr>
          <w:rFonts w:ascii="Times New Roman" w:hAnsi="Times New Roman" w:cs="Times New Roman"/>
          <w:sz w:val="27"/>
          <w:szCs w:val="27"/>
          <w:lang w:val="tt-RU"/>
        </w:rPr>
        <w:t>Метшин</w:t>
      </w:r>
    </w:p>
    <w:p w:rsidR="00B4561F" w:rsidRPr="009F1599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B4561F" w:rsidRPr="009F1599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B4561F" w:rsidRPr="009F1599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B4561F" w:rsidRPr="009F1599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801D76" w:rsidRPr="009F1599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  <w:lang w:val="tt-RU"/>
        </w:rPr>
      </w:pPr>
    </w:p>
    <w:p w:rsidR="00801D76" w:rsidRPr="009F1599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  <w:lang w:val="tt-RU"/>
        </w:rPr>
      </w:pPr>
    </w:p>
    <w:sectPr w:rsidR="00801D76" w:rsidRPr="009F1599" w:rsidSect="009F1599">
      <w:footerReference w:type="default" r:id="rId8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F4D" w:rsidRDefault="00524F4D" w:rsidP="00FB43D1">
      <w:pPr>
        <w:spacing w:after="0" w:line="240" w:lineRule="auto"/>
      </w:pPr>
      <w:r>
        <w:separator/>
      </w:r>
    </w:p>
  </w:endnote>
  <w:endnote w:type="continuationSeparator" w:id="0">
    <w:p w:rsidR="00524F4D" w:rsidRDefault="00524F4D" w:rsidP="00FB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97130"/>
      <w:docPartObj>
        <w:docPartGallery w:val="Page Numbers (Bottom of Page)"/>
        <w:docPartUnique/>
      </w:docPartObj>
    </w:sdtPr>
    <w:sdtEndPr/>
    <w:sdtContent>
      <w:p w:rsidR="00FB43D1" w:rsidRDefault="00FB43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726">
          <w:rPr>
            <w:noProof/>
          </w:rPr>
          <w:t>2</w:t>
        </w:r>
        <w:r>
          <w:fldChar w:fldCharType="end"/>
        </w:r>
      </w:p>
    </w:sdtContent>
  </w:sdt>
  <w:p w:rsidR="00FB43D1" w:rsidRDefault="00FB43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F4D" w:rsidRDefault="00524F4D" w:rsidP="00FB43D1">
      <w:pPr>
        <w:spacing w:after="0" w:line="240" w:lineRule="auto"/>
      </w:pPr>
      <w:r>
        <w:separator/>
      </w:r>
    </w:p>
  </w:footnote>
  <w:footnote w:type="continuationSeparator" w:id="0">
    <w:p w:rsidR="00524F4D" w:rsidRDefault="00524F4D" w:rsidP="00FB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35998"/>
    <w:multiLevelType w:val="hybridMultilevel"/>
    <w:tmpl w:val="6720CC8E"/>
    <w:lvl w:ilvl="0" w:tplc="0B66C0F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1F"/>
    <w:rsid w:val="00022C0B"/>
    <w:rsid w:val="00033B0A"/>
    <w:rsid w:val="000925A2"/>
    <w:rsid w:val="000B390D"/>
    <w:rsid w:val="001C4C88"/>
    <w:rsid w:val="001D248A"/>
    <w:rsid w:val="001D736C"/>
    <w:rsid w:val="001F64C3"/>
    <w:rsid w:val="002B7C8D"/>
    <w:rsid w:val="002B7D18"/>
    <w:rsid w:val="00330B9C"/>
    <w:rsid w:val="00346442"/>
    <w:rsid w:val="003B4C1A"/>
    <w:rsid w:val="003B7A11"/>
    <w:rsid w:val="00435047"/>
    <w:rsid w:val="004723C0"/>
    <w:rsid w:val="00474E5A"/>
    <w:rsid w:val="004A0CB9"/>
    <w:rsid w:val="004C1F19"/>
    <w:rsid w:val="00524F4D"/>
    <w:rsid w:val="005D47CA"/>
    <w:rsid w:val="00626527"/>
    <w:rsid w:val="00672726"/>
    <w:rsid w:val="006A2A46"/>
    <w:rsid w:val="006A651C"/>
    <w:rsid w:val="006A6841"/>
    <w:rsid w:val="006F3F95"/>
    <w:rsid w:val="007055D8"/>
    <w:rsid w:val="00707D12"/>
    <w:rsid w:val="00736A1A"/>
    <w:rsid w:val="0075461E"/>
    <w:rsid w:val="00801D76"/>
    <w:rsid w:val="008311C2"/>
    <w:rsid w:val="0085046A"/>
    <w:rsid w:val="008C2E28"/>
    <w:rsid w:val="0090037D"/>
    <w:rsid w:val="00971EBA"/>
    <w:rsid w:val="009B1D4F"/>
    <w:rsid w:val="009F1599"/>
    <w:rsid w:val="009F531C"/>
    <w:rsid w:val="00A16BAF"/>
    <w:rsid w:val="00A254A0"/>
    <w:rsid w:val="00AD7AA5"/>
    <w:rsid w:val="00AE39D2"/>
    <w:rsid w:val="00B011F7"/>
    <w:rsid w:val="00B4561F"/>
    <w:rsid w:val="00B81281"/>
    <w:rsid w:val="00C2470B"/>
    <w:rsid w:val="00C4765E"/>
    <w:rsid w:val="00C65A44"/>
    <w:rsid w:val="00CF2A7D"/>
    <w:rsid w:val="00CF35FD"/>
    <w:rsid w:val="00D063F5"/>
    <w:rsid w:val="00D44680"/>
    <w:rsid w:val="00D646B6"/>
    <w:rsid w:val="00DE0A0E"/>
    <w:rsid w:val="00E11955"/>
    <w:rsid w:val="00E3461A"/>
    <w:rsid w:val="00E765E2"/>
    <w:rsid w:val="00EC7CF8"/>
    <w:rsid w:val="00F222E2"/>
    <w:rsid w:val="00F45573"/>
    <w:rsid w:val="00F5730E"/>
    <w:rsid w:val="00F65F42"/>
    <w:rsid w:val="00FB3085"/>
    <w:rsid w:val="00FB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761B"/>
  <w15:docId w15:val="{88DFC436-BEFB-4C66-844D-8E7D3078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56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5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43D1"/>
  </w:style>
  <w:style w:type="paragraph" w:styleId="a7">
    <w:name w:val="footer"/>
    <w:basedOn w:val="a"/>
    <w:link w:val="a8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4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Зарифуллин</dc:creator>
  <cp:lastModifiedBy>202-Ахметова Алсу</cp:lastModifiedBy>
  <cp:revision>3</cp:revision>
  <cp:lastPrinted>2020-05-18T05:47:00Z</cp:lastPrinted>
  <dcterms:created xsi:type="dcterms:W3CDTF">2020-05-20T10:35:00Z</dcterms:created>
  <dcterms:modified xsi:type="dcterms:W3CDTF">2020-05-29T08:07:00Z</dcterms:modified>
</cp:coreProperties>
</file>